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rPr>
          <w:color w:val="0A192F"/>
        </w:rPr>
        <w:t>Track Record Methodology Memo</w:t>
      </w:r>
    </w:p>
    <w:p>
      <w:r>
        <w:rPr>
          <w:color w:val="8892A4"/>
          <w:sz w:val="16"/>
        </w:rPr>
        <w:t>March 30, 2026  |  Private Arrangement — Not a Public Offering  |  Governing Law: Wyoming</w:t>
      </w:r>
    </w:p>
    <w:p/>
    <w:p>
      <w:r>
        <w:rPr>
          <w:sz w:val="22"/>
        </w:rPr>
        <w:t>This memo explains how Abilities Finance measures, reports, and contextualises its trading performance. Understanding these definitions is essential to reading the track record accurately.</w:t>
      </w:r>
    </w:p>
    <w:p>
      <w:pPr>
        <w:pStyle w:val="Heading2"/>
      </w:pPr>
      <w:r>
        <w:rPr>
          <w:color w:val="0A192F"/>
        </w:rPr>
        <w:t>1. What Is Reported</w:t>
      </w:r>
    </w:p>
    <w:p>
      <w:r>
        <w:rPr>
          <w:sz w:val="22"/>
        </w:rPr>
        <w:t>The Abilities Finance track record reports trading performance from a specific period (currently: 87 days, beginning in late 2025). The record is based on live trading activity in a Coinbase account. All figures are derived from actual executed trades, not simulated or backtested results.</w:t>
      </w:r>
    </w:p>
    <w:p>
      <w:pPr>
        <w:pStyle w:val="Heading2"/>
      </w:pPr>
      <w:r>
        <w:rPr>
          <w:color w:val="0A192F"/>
        </w:rPr>
        <w:t>2. Realized P&amp;L</w:t>
      </w:r>
    </w:p>
    <w:p>
      <w:r>
        <w:rPr>
          <w:sz w:val="22"/>
        </w:rPr>
        <w:t>Profit and Loss (P&amp;L) figures represent realized gains and losses from closed trades only. Unrealized paper gains or losses on open positions are not included. A trade is "realized" when it is fully closed — both the entry and exit have been executed.</w:t>
      </w:r>
    </w:p>
    <w:p>
      <w:pPr>
        <w:pStyle w:val="Heading2"/>
      </w:pPr>
      <w:r>
        <w:rPr>
          <w:color w:val="0A192F"/>
        </w:rPr>
        <w:t>3. Normalized vs. Raw Results</w:t>
      </w:r>
    </w:p>
    <w:p>
      <w:r>
        <w:rPr>
          <w:sz w:val="22"/>
        </w:rPr>
        <w:t>We present both normalized and raw results to provide complete transparency.</w:t>
      </w:r>
    </w:p>
    <w:p>
      <w:r>
        <w:rPr>
          <w:sz w:val="22"/>
        </w:rPr>
        <w:t>Normalized results exclude the impact of the January 30, 2026 operational event (see Section 5). They reflect the performance of the core trading strategy under normal operating conditions.</w:t>
      </w:r>
    </w:p>
    <w:p>
      <w:r>
        <w:rPr>
          <w:sz w:val="22"/>
        </w:rPr>
        <w:t>Raw results include all trading activity, including the 164 forced position closes and $3,056 in losses from the operational event. Both sets of numbers are always presented together. Neither is hidden.</w:t>
      </w:r>
    </w:p>
    <w:p>
      <w:pPr>
        <w:pStyle w:val="Heading2"/>
      </w:pPr>
      <w:r>
        <w:rPr>
          <w:color w:val="0A192F"/>
        </w:rPr>
        <w:t>4. Close-Level Win Rate</w:t>
      </w:r>
    </w:p>
    <w:p>
      <w:r>
        <w:rPr>
          <w:sz w:val="22"/>
        </w:rPr>
        <w:t>The win rate is calculated as the percentage of individual closed trades that resulted in a net profit. It is a measure of trade-level accuracy — how often a trade closes in profit — and is not the same as overall portfolio return. A high win rate does not guarantee a positive overall P&amp;L if losing trades are significantly larger than winning trades.</w:t>
      </w:r>
    </w:p>
    <w:p>
      <w:pPr>
        <w:pStyle w:val="Heading2"/>
      </w:pPr>
      <w:r>
        <w:rPr>
          <w:color w:val="0A192F"/>
        </w:rPr>
        <w:t>5. The January 30, 2026 Operational Event</w:t>
      </w:r>
    </w:p>
    <w:p>
      <w:r>
        <w:rPr>
          <w:sz w:val="22"/>
        </w:rPr>
        <w:t>On January 30, 2026, an unauthorized capital extraction event occurred in the trading account. This resulted in 164 forced position closes and $3,056 in direct losses. This event is fully disclosed in the track record. Governance controls implemented since then include hard position limits, margin buffer requirements, daily exposure caps, and AI-assisted risk monitoring.</w:t>
      </w:r>
    </w:p>
    <w:p>
      <w:pPr>
        <w:pStyle w:val="Heading2"/>
      </w:pPr>
      <w:r>
        <w:rPr>
          <w:color w:val="0A192F"/>
        </w:rPr>
        <w:t>6. Reporting Window</w:t>
      </w:r>
    </w:p>
    <w:p>
      <w:r>
        <w:rPr>
          <w:sz w:val="22"/>
        </w:rPr>
        <w:t>The current track record covers 87 days of live trading. This is a short period. It is not sufficient to draw statistically robust conclusions about long-term performance. The record is provided to demonstrate the trading approach and the level of transparency Abilities Finance maintains — not as a performance guarantee.</w:t>
      </w:r>
    </w:p>
    <w:p>
      <w:pPr>
        <w:pStyle w:val="Heading2"/>
      </w:pPr>
      <w:r>
        <w:rPr>
          <w:color w:val="0A192F"/>
        </w:rPr>
        <w:t>7. Limits of Inference</w:t>
      </w:r>
    </w:p>
    <w:p>
      <w:r>
        <w:rPr>
          <w:sz w:val="22"/>
        </w:rPr>
        <w:t>Past performance does not guarantee future results. The win rate, P&amp;L figures, and trade count reported here reflect a specific period under specific market conditions. They do not promise that these results will be replicated, sustained, or exceeded in future periods.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8892A4"/>
        <w:sz w:val="16"/>
      </w:rPr>
      <w:t>Private Capital Arrangement — For People Who Know Czar Personally. Not a Public Offering. Principal at Risk.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b/>
        <w:color w:val="0A192F"/>
      </w:rPr>
      <w:t>Abilities Finance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